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F3" w:rsidRDefault="003D4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42F3" w:rsidRDefault="003D42F3">
      <w:pPr>
        <w:sectPr w:rsidR="003D42F3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100" w:charSpace="8192"/>
        </w:sectPr>
      </w:pPr>
    </w:p>
    <w:p w:rsidR="003D42F3" w:rsidRDefault="00F64845">
      <w:pPr>
        <w:keepNext/>
        <w:keepLines/>
        <w:spacing w:after="57" w:line="240" w:lineRule="auto"/>
        <w:ind w:left="65" w:firstLine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 Общие положения 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Настоящее Положение о проведении конкурса «В гостях у сказки» на запись музыкального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радиоспектакля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сказкам А.С. Пушкина,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написанных им в селе Большое Болдино, для детей 10-16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проТеатр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Конкурс) устанавливает цели и задачи, определяет права и обязанности организаторов и участников, а также сроки проведения Конкурса.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Организаторы Конкурса – Государственная телевизионная и радиовещательная компания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«Нижний Новгород» (далее – «ГТРК «Нижний Новгород»), Государственное бюджетное образовательное учреждение дополнительного профессионального образования «Нижегородский институт развития образования» (далее – ГБОУ ДПО НИРО), Государственное бюджетное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культуры Нижегородской области «Государственный литературно-мемориальный и природный музей-заповедник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«Болдино» (далее - ГБУК НО «Государственный литературно-мемориальный и природный музей- заповедник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«Болдино»), </w:t>
      </w:r>
      <w:bookmarkStart w:id="0" w:name="__DdeLink__319_394354476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бюджетное учреждение дополнительного образования «Нижегородский центр развития воспитания детей и молодежи «Сфера» (далее - ГБУ ДО НЦ «Сфера»).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Конкурс проводится в целях выявления и развития у обучающихся творческих способностей, интереса к литера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турному, музыкальному, театральному творчеству, знакомства подрастающего поколения с миром театра; а также в целях развития школьных театров и повышения профессионального мастерства педагогических работников.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Информационное обеспечение участников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урса реализуется посредством публикации информации:</w:t>
      </w:r>
    </w:p>
    <w:p w:rsidR="003D42F3" w:rsidRDefault="00F64845">
      <w:pPr>
        <w:numPr>
          <w:ilvl w:val="0"/>
          <w:numId w:val="2"/>
        </w:numPr>
        <w:spacing w:after="57" w:line="240" w:lineRule="auto"/>
        <w:ind w:left="65" w:right="64" w:firstLine="50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организаторов: </w:t>
      </w:r>
      <w:hyperlink r:id="rId6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https://vestinn.ru/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hyperlink r:id="rId7">
        <w:r>
          <w:rPr>
            <w:rStyle w:val="-"/>
            <w:rFonts w:ascii="Times New Roman" w:eastAsia="Times New Roman" w:hAnsi="Times New Roman" w:cs="Times New Roman"/>
            <w:color w:val="0000FF"/>
            <w:sz w:val="24"/>
            <w:szCs w:val="24"/>
          </w:rPr>
          <w:t>http://www.niro.nnov.ru/</w:t>
        </w:r>
      </w:hyperlink>
      <w:r>
        <w:rPr>
          <w:rStyle w:val="-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Style w:val="-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8">
        <w:bookmarkStart w:id="1" w:name="__DdeLink__773_2778702176"/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</w:t>
        </w:r>
      </w:hyperlink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sfera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nobl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bookmarkEnd w:id="1"/>
      <w:proofErr w:type="spellEnd"/>
      <w:r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9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https://boldinomuzey.ru/</w:t>
        </w:r>
      </w:hyperlink>
      <w:r>
        <w:rPr>
          <w:rStyle w:val="-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3D42F3" w:rsidRDefault="00F64845">
      <w:pPr>
        <w:numPr>
          <w:ilvl w:val="0"/>
          <w:numId w:val="2"/>
        </w:num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официальных аккаунтах организаторов в социальных сетях. </w:t>
      </w:r>
    </w:p>
    <w:p w:rsidR="003D42F3" w:rsidRDefault="00F64845">
      <w:pPr>
        <w:keepNext/>
        <w:keepLines/>
        <w:spacing w:after="57" w:line="240" w:lineRule="auto"/>
        <w:ind w:left="65" w:right="463" w:firstLine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 и задачи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Целями проведения Конкурса являются творческая профориентация детей и юношества,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подрастающего поколения с миром театра и повышение профессионального мастерства педагогических работников.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Задачи: </w:t>
      </w:r>
    </w:p>
    <w:p w:rsidR="003D42F3" w:rsidRDefault="00F64845">
      <w:pPr>
        <w:numPr>
          <w:ilvl w:val="0"/>
          <w:numId w:val="3"/>
        </w:num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творческого взаимодействия между талантливыми подростками и профессиональными музыкантами, актёрами, журналистам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D42F3" w:rsidRDefault="00F64845">
      <w:pPr>
        <w:numPr>
          <w:ilvl w:val="0"/>
          <w:numId w:val="3"/>
        </w:num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познавательной самостоятельности, творческих способностей, исследовательских навыков, умения работать с информацией;</w:t>
      </w:r>
    </w:p>
    <w:p w:rsidR="003D42F3" w:rsidRDefault="00F64845">
      <w:pPr>
        <w:numPr>
          <w:ilvl w:val="0"/>
          <w:numId w:val="3"/>
        </w:num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развития и повышения творческого потенциала детей и подростков;</w:t>
      </w:r>
    </w:p>
    <w:p w:rsidR="003D42F3" w:rsidRDefault="00F64845">
      <w:pPr>
        <w:numPr>
          <w:ilvl w:val="0"/>
          <w:numId w:val="3"/>
        </w:num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талантливых детей и молодежи.</w:t>
      </w:r>
    </w:p>
    <w:p w:rsidR="003D42F3" w:rsidRDefault="00F64845">
      <w:pPr>
        <w:keepNext/>
        <w:keepLines/>
        <w:spacing w:after="57" w:line="240" w:lineRule="auto"/>
        <w:ind w:left="65" w:right="360" w:firstLine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Условия участия.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К участию в Конкурсе допускаются обучающиеся общеобразовательных учреждений г. Нижнего Новгорода и Нижегородской области, а также учреждений дополнительного образования в возрасте 10-1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 предполагает индивидуальное участие. В отдельных случаях, при сценарной необходимости возрастной ценз может быть изменён на усмотрение экспертной комиссии.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left="68" w:firstLine="5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проведения Конкурса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left="68" w:firstLine="50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4.1. Конкурс проводится в четыре этапа: подготовительный этап,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униципальный очный этап, зональный очный этап, финальный этап.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Общий период проведения конкурса: с 05 октября 2023 года по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июня 2024 года.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Сроки проведения отдельных этапов конкурса:</w:t>
      </w:r>
    </w:p>
    <w:p w:rsidR="003D42F3" w:rsidRDefault="00F64845">
      <w:pPr>
        <w:pStyle w:val="af4"/>
        <w:numPr>
          <w:ilvl w:val="0"/>
          <w:numId w:val="8"/>
        </w:numPr>
        <w:tabs>
          <w:tab w:val="center" w:pos="1002"/>
          <w:tab w:val="center" w:pos="5310"/>
        </w:tabs>
        <w:spacing w:after="57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этап, подготовительный: с 09 октября 2023 года по 05 ноября 2023 года;</w:t>
      </w:r>
    </w:p>
    <w:p w:rsidR="003D42F3" w:rsidRDefault="00F64845">
      <w:pPr>
        <w:pStyle w:val="af4"/>
        <w:numPr>
          <w:ilvl w:val="0"/>
          <w:numId w:val="8"/>
        </w:numPr>
        <w:tabs>
          <w:tab w:val="center" w:pos="1002"/>
          <w:tab w:val="center" w:pos="5310"/>
        </w:tabs>
        <w:spacing w:after="57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этап, муниципальный: с 13 ноября 2023 года по 10 декабря 2023 года;</w:t>
      </w:r>
    </w:p>
    <w:p w:rsidR="003D42F3" w:rsidRDefault="00F64845">
      <w:pPr>
        <w:pStyle w:val="af4"/>
        <w:numPr>
          <w:ilvl w:val="0"/>
          <w:numId w:val="8"/>
        </w:numPr>
        <w:tabs>
          <w:tab w:val="center" w:pos="1002"/>
          <w:tab w:val="center" w:pos="5310"/>
        </w:tabs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этап, зональный: с 15 января 2024 года по 18 февраля 2024 года;</w:t>
      </w:r>
    </w:p>
    <w:p w:rsidR="003D42F3" w:rsidRDefault="00F64845">
      <w:pPr>
        <w:pStyle w:val="af4"/>
        <w:numPr>
          <w:ilvl w:val="0"/>
          <w:numId w:val="8"/>
        </w:numPr>
        <w:tabs>
          <w:tab w:val="center" w:pos="1002"/>
          <w:tab w:val="center" w:pos="5310"/>
        </w:tabs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этап, финальный: с 04 марта 2024 года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марта 2024 года.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left="65" w:firstLine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Содержание подготовительного дистанционного этапа:</w:t>
      </w:r>
    </w:p>
    <w:p w:rsidR="003D42F3" w:rsidRDefault="00F64845">
      <w:pPr>
        <w:tabs>
          <w:tab w:val="center" w:pos="5310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Участники должны пройти регистрацию на сайте ГБОУ ДПО НИРО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http://www.niro.nnov.ru/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Сроки регистрации с 09 по 29 октября 2023 года включительно.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Назначение кураторов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городских и муниципальных округов для организации и проведения муниципального этапа конкурса.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5.3.1. Куратор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назначается органом управления образования (заместитель директора по воспитательной работе, учитель русского языка и литературы, методист, педаг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ог-организатор, педагог дополнительного образования</w:t>
      </w:r>
      <w:r>
        <w:rPr>
          <w:rFonts w:ascii="Times New Roman" w:eastAsia="Source Sans Pro" w:hAnsi="Times New Roman" w:cs="Source Sans Pro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заместитель директора дома культуры, библиотекарь). Порядок проведения муниципального этапа утверждается на муниципальном уровне. 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5.3.2. Куратор получает от организационного комитета информацию о зареги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стрировавшихся участниках своего муниципалитета или муниципального округа и создаёт группу в телеграмм-канале для общения и решения всех организационных вопросов.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5.3.3. Куратор также размещает в мессенджере информацию о месте и времени проведения муниципа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льного этапа, определяет сроки проведения муниципального этапа. 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Количество участников подготовительного этапа неограниченно.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0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Список участников, прошедших на муниципальный этап, будет опубликован на сайте ГТРК «Нижний Новгород» </w:t>
      </w:r>
      <w:hyperlink r:id="rId10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https://vestinn.ru/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сайте ГБОУ ДПО НИРО </w:t>
      </w:r>
      <w:hyperlink r:id="rId11">
        <w:r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</w:rPr>
          <w:t>http://www.niro.nnov.ru/</w:t>
        </w:r>
      </w:hyperlink>
      <w:hyperlink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</w:hyperlink>
      <w:hyperlink r:id="rId12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</w:t>
        </w:r>
      </w:hyperlink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sfera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nobl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07.11.2023 года.</w:t>
      </w:r>
    </w:p>
    <w:p w:rsidR="003D42F3" w:rsidRDefault="00F64845">
      <w:pPr>
        <w:spacing w:after="57" w:line="240" w:lineRule="auto"/>
        <w:ind w:firstLine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Содержание муниципального очного этапа</w:t>
      </w:r>
    </w:p>
    <w:p w:rsidR="003D42F3" w:rsidRDefault="00F64845">
      <w:pPr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Этап проводится в период с 13.11. 2023 по 10.12. 2023 года во всех муниципалитетах.</w:t>
      </w:r>
    </w:p>
    <w:p w:rsidR="003D42F3" w:rsidRDefault="00F64845">
      <w:pPr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Участники должны:</w:t>
      </w:r>
    </w:p>
    <w:p w:rsidR="003D42F3" w:rsidRDefault="00F64845">
      <w:pPr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bookmarkStart w:id="2" w:name="_30j0zll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исполнить литературное произведение или отрывок (басня, стихотворение, отрывок из прозы, монолог)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вольную тему. 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Продолжительность выступления не должна превышать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Рекомендации по выбору литературных произведений </w:t>
      </w:r>
    </w:p>
    <w:p w:rsidR="003D42F3" w:rsidRDefault="00F64845">
      <w:pPr>
        <w:spacing w:after="57" w:line="240" w:lineRule="auto"/>
        <w:ind w:left="65" w:right="64"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Муниципальные кураторы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должны: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3" w:name="_1fob9te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оповестить детей об участии в этапе;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назначить дату проведения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этапа;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определить состав жюри муниципального этапа;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провести муниципальный этап;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направить списки победителей в организационный комитет конкурса ГБОУ ДПО НИРО до 10 ноября 2023 года на электронную почту: 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marketing-pr.department@yandex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.ru.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6.6. Отбор проводится в соответствии с критериями конкурсного испытания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2)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4" w:name="_3znysh7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6.7.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зональный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проходят по 15 победителей от каждого муниципального округа, набравшие наибольшее количество баллов по оценочному листу (Приложение 3)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6.8. 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 результатов производится в соответствии с критериями отбора участников зонального этапа (Приложение 4).</w:t>
      </w:r>
    </w:p>
    <w:p w:rsidR="003D42F3" w:rsidRDefault="00F64845">
      <w:pPr>
        <w:spacing w:after="57" w:line="240" w:lineRule="auto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Список победителей муниципального этапа будет опубликован на сайте ГТРК «Нижний Новгород» </w:t>
      </w:r>
      <w:hyperlink r:id="rId13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https://vesti</w:t>
        </w:r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nn.ru/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</w:t>
        </w:r>
      </w:hyperlink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sfera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nobl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сайте ГБОУ ДПО НИРО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http://www.niro.nnov.ru/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28.12.2023 года.</w:t>
      </w:r>
    </w:p>
    <w:p w:rsidR="003D42F3" w:rsidRDefault="00F64845">
      <w:pPr>
        <w:spacing w:after="57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Содержание зонального этапа.</w:t>
      </w:r>
    </w:p>
    <w:p w:rsidR="003D42F3" w:rsidRDefault="00F64845">
      <w:pPr>
        <w:spacing w:after="57" w:line="240" w:lineRule="auto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Этап проходит в период с 15.01.2024г по 18.02.2024г. </w:t>
      </w:r>
    </w:p>
    <w:p w:rsidR="003D42F3" w:rsidRDefault="00F64845">
      <w:pPr>
        <w:spacing w:after="57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Места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зонального этапа Конкурса определяется Оргкомитетом в соответствии с поданными списками (Приложение 5).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Участники должны: </w:t>
      </w:r>
    </w:p>
    <w:p w:rsidR="003D42F3" w:rsidRDefault="00F64845">
      <w:pPr>
        <w:spacing w:after="57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исполнить литературное произведение или отрывок (басня, стихотворение, отрывок из прозы, монолог) на вольную тему (Приложение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Зональные кураторы должны: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оповестить детей об участии в зональном этапе;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назначить дату проведения зонального этапа;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состав жюри;</w:t>
      </w:r>
    </w:p>
    <w:p w:rsidR="003D42F3" w:rsidRDefault="00F64845">
      <w:pPr>
        <w:spacing w:after="57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зональный этап;</w:t>
      </w:r>
    </w:p>
    <w:p w:rsidR="003D42F3" w:rsidRDefault="00F64845">
      <w:pPr>
        <w:tabs>
          <w:tab w:val="center" w:pos="1002"/>
          <w:tab w:val="center" w:pos="5310"/>
        </w:tabs>
        <w:spacing w:after="57" w:line="240" w:lineRule="auto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выслать списки победителей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Оргкомитет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 ГБОУ ДПО НИРО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 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февраля 2024 года на электронную почту: marketing-pr.department@yandex.ru.</w:t>
      </w:r>
    </w:p>
    <w:p w:rsidR="003D42F3" w:rsidRDefault="00F64845">
      <w:pPr>
        <w:tabs>
          <w:tab w:val="left" w:pos="2268"/>
        </w:tabs>
        <w:spacing w:after="57" w:line="240" w:lineRule="auto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Список победителей зонального этапа будет опубликован на сайте ГТРК «Нижний Новгород» </w:t>
      </w:r>
      <w:hyperlink r:id="rId15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https://vestinn.ru/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</w:t>
        </w:r>
      </w:hyperlink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sfera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nobl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сайте ГБОУ ДПО НИРО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http://www.niro.nnov.ru/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27 февраля 2024 года.</w:t>
      </w:r>
    </w:p>
    <w:p w:rsidR="003D42F3" w:rsidRDefault="00F64845">
      <w:pPr>
        <w:tabs>
          <w:tab w:val="left" w:pos="2268"/>
        </w:tabs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В финальный этап проходят по 3 победителя зонального этапа от каждой из 25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(75 человек).</w:t>
      </w:r>
    </w:p>
    <w:p w:rsidR="003D42F3" w:rsidRDefault="00F64845">
      <w:pPr>
        <w:spacing w:after="57" w:line="240" w:lineRule="auto"/>
        <w:ind w:firstLine="502"/>
        <w:jc w:val="center"/>
        <w:rPr>
          <w:rFonts w:ascii="Times New Roman" w:hAnsi="Times New Roman"/>
          <w:sz w:val="24"/>
          <w:szCs w:val="24"/>
        </w:rPr>
      </w:pPr>
      <w:bookmarkStart w:id="5" w:name="_2et92p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Содержание фина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льного этапа.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Финальный этап конкурса состоится в Нижнем Новгороде в студии ГТРК «Нижний Новгород» в период с 04.03.2024 по 17.03.2024г. (организаторы оставляют за собой право изменить место проведения финального этапа)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Финальный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 включает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себя: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Конкурсное испытание (Приложение 1)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Оценку результатов и отбор победителей (Приложение 2)</w:t>
      </w:r>
    </w:p>
    <w:p w:rsidR="003D42F3" w:rsidRDefault="00F64845">
      <w:pPr>
        <w:spacing w:after="57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По итогам финального этапа будут отобраны 35 победителей, которые примут участие в записи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радиоспектакля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сказкам А.С. Пушкина «В гостях у сказки»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проТЕАТР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D42F3" w:rsidRDefault="00F64845">
      <w:pPr>
        <w:spacing w:after="57" w:line="240" w:lineRule="auto"/>
        <w:ind w:firstLine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Список победителей финального этапа будет опубликован на сайте ГТРК «Нижний Новгород» </w:t>
      </w:r>
      <w:hyperlink r:id="rId17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https://vestinn.ru/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>
        <w:r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http://</w:t>
        </w:r>
      </w:hyperlink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sfera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nobl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Style w:val="-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A2250E">
        <w:rPr>
          <w:rStyle w:val="-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сайте ГБУ ДПО НИРО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http://www.niro.nnov.ru/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22.03.2024 года.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Финалисты проекта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мастер-классы по актёрскому, вокальному и сценическому искусству, посетят нижегородские театры и музеи (организаторы оставляют за собой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изменить программу культурного досуга и состав мастер-классов). Организатором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мастер-классов для детей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является ГБУ ДО НЦ «Сфера»; для педагогов – ГБОУ ДПО НИРО. 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8.6. Участники финального этапа награждаются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дипломом призёра и удостаиваю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права участвовать в записи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радиоспектакля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сказкам А.С. Пушкина «В гостях у сказки».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Сценарий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радиоспектакля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«Государственный литературно-мемориальный и природный музей-заповедник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«Болдино». </w:t>
      </w:r>
    </w:p>
    <w:p w:rsidR="003D42F3" w:rsidRDefault="00F64845">
      <w:pPr>
        <w:keepNext/>
        <w:keepLines/>
        <w:tabs>
          <w:tab w:val="center" w:pos="1423"/>
          <w:tab w:val="center" w:pos="5025"/>
        </w:tabs>
        <w:spacing w:after="57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Организационное и экспер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тное сопровождение</w:t>
      </w:r>
    </w:p>
    <w:p w:rsidR="003D42F3" w:rsidRDefault="00F64845">
      <w:pPr>
        <w:spacing w:after="57" w:line="240" w:lineRule="auto"/>
        <w:ind w:right="23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Общее руководство организацией и проведением Конкурса осуществляет организационный комитет, сформированный ГБОУ ДПО НИРО,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ГБУ ДО НЦ «Сфера»,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«Государственный литературно-мемориальный и природный музей- заповедник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«Болдино». Состав Оргкомитета представлен в (Приложении 6).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Оргкомитет:</w:t>
      </w:r>
    </w:p>
    <w:p w:rsidR="003D42F3" w:rsidRDefault="00F64845">
      <w:pPr>
        <w:spacing w:after="57" w:line="240" w:lineRule="auto"/>
        <w:ind w:right="240" w:firstLine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9.1.1. Обеспечивает проведение</w:t>
      </w:r>
      <w:r>
        <w:rPr>
          <w:rStyle w:val="a5"/>
          <w:rFonts w:ascii="Times New Roman" w:hAnsi="Times New Roman" w:cs="Mang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Конкурса, утверждает результаты Конкурса и публикует их на сайте ГБОУ ДПО НИРО. </w:t>
      </w:r>
    </w:p>
    <w:p w:rsidR="003D42F3" w:rsidRDefault="00F64845">
      <w:pPr>
        <w:spacing w:after="57" w:line="240" w:lineRule="auto"/>
        <w:ind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9.1.2. Рассматривает заявки от участников Конкурса, осуществляет консул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ьтационную, организационную и методическую поддержку участников по вопросам подготовки Конкурса. </w:t>
      </w:r>
    </w:p>
    <w:p w:rsidR="003D42F3" w:rsidRDefault="00F64845">
      <w:pPr>
        <w:spacing w:after="57" w:line="240" w:lineRule="auto"/>
        <w:ind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9.1.3. Посредством протокола заседания утверждает состав жюри.</w:t>
      </w:r>
    </w:p>
    <w:p w:rsidR="003D42F3" w:rsidRDefault="00F64845">
      <w:pPr>
        <w:spacing w:after="57" w:line="240" w:lineRule="auto"/>
        <w:ind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9.1.4. Утверждает результаты конкурса. </w:t>
      </w:r>
    </w:p>
    <w:p w:rsidR="003D42F3" w:rsidRDefault="00F64845">
      <w:pPr>
        <w:spacing w:after="57" w:line="240" w:lineRule="auto"/>
        <w:ind w:right="24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9.1.5. Осуществляет иные функции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Положением.</w:t>
      </w:r>
    </w:p>
    <w:p w:rsidR="003D42F3" w:rsidRDefault="00F64845">
      <w:pPr>
        <w:spacing w:after="57" w:line="240" w:lineRule="auto"/>
        <w:ind w:right="24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 Общее экспертное сопровождение Конкурса, оценку конкурсных работ осуществляет жюри, формируемое из числа сотрудников ГБОУ ДПО НИРО, местных Домов культуры, руководителей районных кружков, педагогов дополнительного образования, ГТРК «Нижний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Новгород», Государственного бюджетного учреждения дополнительного образования «Нижегородский центр развития воспитания детей и молодежи «Сфера»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«Государственный литературно-мемориальный и природный музей- заповедник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«Болдино».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Жюри:</w:t>
      </w:r>
    </w:p>
    <w:p w:rsidR="003D42F3" w:rsidRDefault="00F64845">
      <w:pPr>
        <w:spacing w:after="57" w:line="240" w:lineRule="auto"/>
        <w:ind w:right="13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9.2.1. Проводит оценку конкурсных работ на основании предусмотренных</w:t>
      </w:r>
    </w:p>
    <w:p w:rsidR="003D42F3" w:rsidRDefault="00F64845">
      <w:pPr>
        <w:spacing w:after="57" w:line="240" w:lineRule="auto"/>
        <w:ind w:right="13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критериев (Приложение 2).</w:t>
      </w:r>
    </w:p>
    <w:p w:rsidR="003D42F3" w:rsidRDefault="00F64845">
      <w:pPr>
        <w:spacing w:after="57" w:line="240" w:lineRule="auto"/>
        <w:ind w:right="13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9.2.2. Предоставляет в Оргкомитет результаты конкурса (протоколы) для их</w:t>
      </w:r>
    </w:p>
    <w:p w:rsidR="003D42F3" w:rsidRDefault="00F64845">
      <w:pPr>
        <w:spacing w:after="57" w:line="240" w:lineRule="auto"/>
        <w:ind w:right="132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утверждения. 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9.2.3. Осуществляет иные функции в соответствии с Положением. </w:t>
      </w:r>
    </w:p>
    <w:p w:rsidR="003D42F3" w:rsidRDefault="00F64845">
      <w:pPr>
        <w:spacing w:after="57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9.2.6.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 жюри представлен в (Приложении 7). </w:t>
      </w:r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</w:p>
    <w:p w:rsidR="003D42F3" w:rsidRDefault="003D42F3">
      <w:pPr>
        <w:pStyle w:val="LO-normal"/>
        <w:spacing w:after="57"/>
        <w:rPr>
          <w:rFonts w:ascii="Times New Roman" w:hAnsi="Times New Roman"/>
          <w:sz w:val="24"/>
          <w:szCs w:val="24"/>
        </w:rPr>
      </w:pPr>
    </w:p>
    <w:p w:rsidR="003D42F3" w:rsidRDefault="003D42F3">
      <w:pPr>
        <w:sectPr w:rsidR="003D42F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</w:p>
    <w:p w:rsidR="003D42F3" w:rsidRDefault="00F64845">
      <w:pPr>
        <w:spacing w:after="57" w:line="240" w:lineRule="auto"/>
        <w:ind w:firstLine="502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3D42F3" w:rsidRDefault="00F64845">
      <w:pPr>
        <w:tabs>
          <w:tab w:val="left" w:pos="1300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и критерии конкурсного испытания </w:t>
      </w:r>
    </w:p>
    <w:p w:rsidR="003D42F3" w:rsidRDefault="00F64845">
      <w:pPr>
        <w:shd w:val="clear" w:color="auto" w:fill="FFFFFF"/>
        <w:spacing w:after="57" w:line="240" w:lineRule="auto"/>
        <w:ind w:right="110"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Конкурсное испытание включает творческие задания, позволяющие определить наличие у детей актерских, декламационных и музыкальных данных.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Муниципальный этап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литературного произведения или отрывка (басня, стихотворение, отрывок из прозы, монолог)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Критерии:</w:t>
      </w:r>
    </w:p>
    <w:p w:rsidR="003D42F3" w:rsidRDefault="00F64845">
      <w:pPr>
        <w:numPr>
          <w:ilvl w:val="0"/>
          <w:numId w:val="4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Сценическое обаяние</w:t>
      </w:r>
    </w:p>
    <w:p w:rsidR="003D42F3" w:rsidRDefault="00F64845">
      <w:pPr>
        <w:numPr>
          <w:ilvl w:val="0"/>
          <w:numId w:val="4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Органичность</w:t>
      </w:r>
    </w:p>
    <w:p w:rsidR="003D42F3" w:rsidRDefault="00F64845">
      <w:pPr>
        <w:numPr>
          <w:ilvl w:val="0"/>
          <w:numId w:val="4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логики текста</w:t>
      </w:r>
    </w:p>
    <w:p w:rsidR="003D42F3" w:rsidRDefault="00F64845">
      <w:pPr>
        <w:numPr>
          <w:ilvl w:val="0"/>
          <w:numId w:val="4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Хорошая дикция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Зональный этап 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наизусть нескольких литературных произведений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существование в предлагаемых комиссией обстоятельствах.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Критерии:</w:t>
      </w:r>
    </w:p>
    <w:p w:rsidR="003D42F3" w:rsidRDefault="00F64845">
      <w:pPr>
        <w:numPr>
          <w:ilvl w:val="0"/>
          <w:numId w:val="5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Сценическое обаяние</w:t>
      </w:r>
    </w:p>
    <w:p w:rsidR="003D42F3" w:rsidRDefault="00F64845">
      <w:pPr>
        <w:numPr>
          <w:ilvl w:val="0"/>
          <w:numId w:val="5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Органичность</w:t>
      </w:r>
    </w:p>
    <w:p w:rsidR="003D42F3" w:rsidRDefault="00F64845">
      <w:pPr>
        <w:numPr>
          <w:ilvl w:val="0"/>
          <w:numId w:val="5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логики текста</w:t>
      </w:r>
    </w:p>
    <w:p w:rsidR="003D42F3" w:rsidRDefault="00F64845">
      <w:pPr>
        <w:numPr>
          <w:ilvl w:val="0"/>
          <w:numId w:val="5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Хорошая дикция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42F3" w:rsidRDefault="00F64845">
      <w:pPr>
        <w:numPr>
          <w:ilvl w:val="0"/>
          <w:numId w:val="5"/>
        </w:numPr>
        <w:tabs>
          <w:tab w:val="left" w:pos="333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Артистичность</w:t>
      </w:r>
    </w:p>
    <w:p w:rsidR="003D42F3" w:rsidRDefault="00F64845">
      <w:pPr>
        <w:numPr>
          <w:ilvl w:val="0"/>
          <w:numId w:val="5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Вера в предлагаемые обстоятельства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Финальный этап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наизусть нескольких литературных </w:t>
      </w:r>
      <w:r>
        <w:rPr>
          <w:rFonts w:ascii="Times New Roman" w:eastAsia="Times New Roman" w:hAnsi="Times New Roman" w:cs="Times New Roman"/>
          <w:sz w:val="24"/>
          <w:szCs w:val="24"/>
        </w:rPr>
        <w:t>произведений и существование в предлагаемых комиссией обстоятельствах с ярко выраженной эмоциональной окраской.</w:t>
      </w: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Критерии:</w:t>
      </w:r>
    </w:p>
    <w:p w:rsidR="003D42F3" w:rsidRDefault="00F64845">
      <w:pPr>
        <w:numPr>
          <w:ilvl w:val="0"/>
          <w:numId w:val="6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Сценическое обаяние</w:t>
      </w:r>
    </w:p>
    <w:p w:rsidR="003D42F3" w:rsidRDefault="00F64845">
      <w:pPr>
        <w:numPr>
          <w:ilvl w:val="0"/>
          <w:numId w:val="6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Органичность</w:t>
      </w:r>
    </w:p>
    <w:p w:rsidR="003D42F3" w:rsidRDefault="00F64845">
      <w:pPr>
        <w:numPr>
          <w:ilvl w:val="0"/>
          <w:numId w:val="6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логики текста</w:t>
      </w:r>
    </w:p>
    <w:p w:rsidR="003D42F3" w:rsidRDefault="00F64845">
      <w:pPr>
        <w:numPr>
          <w:ilvl w:val="0"/>
          <w:numId w:val="6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Хорошая дикция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42F3" w:rsidRDefault="00F64845">
      <w:pPr>
        <w:numPr>
          <w:ilvl w:val="0"/>
          <w:numId w:val="6"/>
        </w:numPr>
        <w:tabs>
          <w:tab w:val="left" w:pos="333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Артистичность</w:t>
      </w:r>
    </w:p>
    <w:p w:rsidR="003D42F3" w:rsidRDefault="00F64845">
      <w:pPr>
        <w:numPr>
          <w:ilvl w:val="0"/>
          <w:numId w:val="6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Вера в предлагаемые обстоятельства</w:t>
      </w:r>
    </w:p>
    <w:p w:rsidR="003D42F3" w:rsidRDefault="00F64845">
      <w:pPr>
        <w:numPr>
          <w:ilvl w:val="0"/>
          <w:numId w:val="6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Четкость и я</w:t>
      </w:r>
      <w:r>
        <w:rPr>
          <w:rFonts w:ascii="Times New Roman" w:eastAsia="Times New Roman" w:hAnsi="Times New Roman" w:cs="Times New Roman"/>
          <w:sz w:val="24"/>
          <w:szCs w:val="24"/>
        </w:rPr>
        <w:t>сность излагаемой мысли</w:t>
      </w:r>
    </w:p>
    <w:p w:rsidR="003D42F3" w:rsidRDefault="00F64845">
      <w:pPr>
        <w:numPr>
          <w:ilvl w:val="0"/>
          <w:numId w:val="6"/>
        </w:numPr>
        <w:tabs>
          <w:tab w:val="left" w:pos="284"/>
        </w:tabs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  <w:sectPr w:rsidR="003D42F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100" w:charSpace="8192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Глубина исполняемого произведения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Оценочный лист</w:t>
      </w:r>
    </w:p>
    <w:tbl>
      <w:tblPr>
        <w:tblStyle w:val="af9"/>
        <w:tblW w:w="14562" w:type="dxa"/>
        <w:tblLook w:val="04A0" w:firstRow="1" w:lastRow="0" w:firstColumn="1" w:lastColumn="0" w:noHBand="0" w:noVBand="1"/>
      </w:tblPr>
      <w:tblGrid>
        <w:gridCol w:w="485"/>
        <w:gridCol w:w="1465"/>
        <w:gridCol w:w="1463"/>
        <w:gridCol w:w="1464"/>
        <w:gridCol w:w="1463"/>
        <w:gridCol w:w="1464"/>
        <w:gridCol w:w="1463"/>
        <w:gridCol w:w="1464"/>
        <w:gridCol w:w="1463"/>
        <w:gridCol w:w="1464"/>
        <w:gridCol w:w="904"/>
      </w:tblGrid>
      <w:tr w:rsidR="003D42F3">
        <w:tc>
          <w:tcPr>
            <w:tcW w:w="484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4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чтеца, автор, название произведения</w:t>
            </w:r>
          </w:p>
        </w:tc>
        <w:tc>
          <w:tcPr>
            <w:tcW w:w="1463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обаяние: эстетическое, интеллектуальное, эмоциональное воздействие на слушателя</w:t>
            </w:r>
          </w:p>
        </w:tc>
        <w:tc>
          <w:tcPr>
            <w:tcW w:w="1464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Органичность: соответствие выбранного произведения возрасту</w:t>
            </w:r>
          </w:p>
        </w:tc>
        <w:tc>
          <w:tcPr>
            <w:tcW w:w="1463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логики текста</w:t>
            </w:r>
          </w:p>
        </w:tc>
        <w:tc>
          <w:tcPr>
            <w:tcW w:w="1464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дикция, расстановка логических ударений, пауз</w:t>
            </w:r>
          </w:p>
        </w:tc>
        <w:tc>
          <w:tcPr>
            <w:tcW w:w="1463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Артистичность</w:t>
            </w:r>
          </w:p>
        </w:tc>
        <w:tc>
          <w:tcPr>
            <w:tcW w:w="1464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в предлагаемые обстоятельства</w:t>
            </w:r>
          </w:p>
        </w:tc>
        <w:tc>
          <w:tcPr>
            <w:tcW w:w="1463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 и ясность излагаемой мысли</w:t>
            </w:r>
          </w:p>
        </w:tc>
        <w:tc>
          <w:tcPr>
            <w:tcW w:w="1464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исполняемого произведения</w:t>
            </w:r>
          </w:p>
        </w:tc>
        <w:tc>
          <w:tcPr>
            <w:tcW w:w="904" w:type="dxa"/>
            <w:shd w:val="clear" w:color="auto" w:fill="auto"/>
          </w:tcPr>
          <w:p w:rsidR="003D42F3" w:rsidRDefault="00F64845">
            <w:pPr>
              <w:spacing w:after="5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42F3">
        <w:tc>
          <w:tcPr>
            <w:tcW w:w="48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42F3">
        <w:tc>
          <w:tcPr>
            <w:tcW w:w="48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42F3">
        <w:tc>
          <w:tcPr>
            <w:tcW w:w="48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42F3">
        <w:tc>
          <w:tcPr>
            <w:tcW w:w="48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42F3">
        <w:tc>
          <w:tcPr>
            <w:tcW w:w="48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D42F3">
        <w:tc>
          <w:tcPr>
            <w:tcW w:w="48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3D42F3" w:rsidRDefault="003D42F3">
            <w:pPr>
              <w:spacing w:after="57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D42F3" w:rsidRDefault="003D42F3">
      <w:pPr>
        <w:sectPr w:rsidR="003D42F3"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299" w:charSpace="8192"/>
        </w:sectPr>
      </w:pPr>
    </w:p>
    <w:p w:rsidR="003D42F3" w:rsidRDefault="00F64845">
      <w:pPr>
        <w:shd w:val="clear" w:color="auto" w:fill="FFFFFF"/>
        <w:spacing w:after="57" w:line="240" w:lineRule="auto"/>
        <w:ind w:firstLine="5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результатов и отбор победителей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42F3" w:rsidRDefault="00F64845">
      <w:pPr>
        <w:numPr>
          <w:ilvl w:val="0"/>
          <w:numId w:val="1"/>
        </w:numPr>
        <w:spacing w:after="5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текста произведения: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Качество текста произведения оценивается от 0 до 5 баллов.</w:t>
      </w:r>
    </w:p>
    <w:p w:rsidR="003D42F3" w:rsidRDefault="00F64845">
      <w:pPr>
        <w:numPr>
          <w:ilvl w:val="1"/>
          <w:numId w:val="1"/>
        </w:numPr>
        <w:tabs>
          <w:tab w:val="left" w:pos="1455"/>
          <w:tab w:val="left" w:pos="2552"/>
        </w:tabs>
        <w:spacing w:after="57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баллов по критерию «Выбор текста произведения» – 5 баллов. </w:t>
      </w:r>
    </w:p>
    <w:p w:rsidR="003D42F3" w:rsidRDefault="00F64845">
      <w:pPr>
        <w:tabs>
          <w:tab w:val="left" w:pos="1455"/>
        </w:tabs>
        <w:spacing w:after="57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Способность оказывать эстетическое, интеллектуальное и эмоциональное воздействие на слушателей: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Чтецу удалось рассказать историю так, чтобы слушатель (член жюри)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онял ее. Оценивается от 0 до 5 баллов.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Чтецу удалось эмоционально вовлечь слушателя (члена жюри): заставить задуматься, смеяться, сопереживать. Оценивается от 0 до 5 баллов (максимальное количество баллов по данному критерию – 10 баллов).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Грамотн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речь: </w:t>
      </w:r>
    </w:p>
    <w:p w:rsidR="003D42F3" w:rsidRDefault="00F64845">
      <w:pPr>
        <w:tabs>
          <w:tab w:val="left" w:pos="1455"/>
        </w:tabs>
        <w:spacing w:after="57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произведения), оценивается от 0 до 5 баллов.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Максимальное количество баллов по данному критери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– 5 баллов.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Дикция: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Расстановка логических ударений, пауз: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Выразительность дикции, четкое произнесение звуков в соответствии с фонетическими нормами языка оценивается от 0 до 5 баллов. </w:t>
      </w:r>
    </w:p>
    <w:p w:rsidR="003D42F3" w:rsidRDefault="00F64845">
      <w:pPr>
        <w:numPr>
          <w:ilvl w:val="1"/>
          <w:numId w:val="7"/>
        </w:numPr>
        <w:tabs>
          <w:tab w:val="left" w:pos="1455"/>
        </w:tabs>
        <w:spacing w:after="57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 по данному критерию –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баллов.</w:t>
      </w:r>
    </w:p>
    <w:p w:rsidR="003D42F3" w:rsidRDefault="00F64845">
      <w:pPr>
        <w:tabs>
          <w:tab w:val="left" w:pos="1455"/>
        </w:tabs>
        <w:spacing w:after="57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5.Максимальное количество баллов по всем критериям оценки – 25 баллов.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sz w:val="28"/>
          <w:szCs w:val="28"/>
        </w:rPr>
      </w:pPr>
      <w:bookmarkStart w:id="7" w:name="_3dy6vkm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Жюри вносит оценки участников в оценочный лист (Приложение 3)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Форма голосования жюри – закрытая. 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Оргкомитет принимает решение о Победителях на основе выставленн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баллов.</w:t>
      </w:r>
    </w:p>
    <w:p w:rsidR="003D42F3" w:rsidRDefault="00F64845">
      <w:pPr>
        <w:tabs>
          <w:tab w:val="left" w:pos="1455"/>
        </w:tabs>
        <w:spacing w:after="57" w:line="240" w:lineRule="auto"/>
        <w:ind w:firstLine="50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При наличии одинаковых баллов, жюри отдаёт предпочтение наиболее артистичным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харизматичным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участникам.</w:t>
      </w:r>
    </w:p>
    <w:p w:rsidR="003D42F3" w:rsidRDefault="003D42F3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p w:rsidR="003D42F3" w:rsidRDefault="003D42F3">
      <w:pPr>
        <w:spacing w:after="57" w:line="240" w:lineRule="auto"/>
        <w:rPr>
          <w:rFonts w:ascii="Times New Roman" w:hAnsi="Times New Roman"/>
          <w:sz w:val="24"/>
          <w:szCs w:val="24"/>
        </w:rPr>
      </w:pPr>
    </w:p>
    <w:sectPr w:rsidR="003D42F3">
      <w:pgSz w:w="11906" w:h="16838"/>
      <w:pgMar w:top="1134" w:right="850" w:bottom="1134" w:left="1701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Sans Pr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ACF"/>
    <w:multiLevelType w:val="multilevel"/>
    <w:tmpl w:val="B0F89E14"/>
    <w:lvl w:ilvl="0">
      <w:start w:val="1"/>
      <w:numFmt w:val="bullet"/>
      <w:lvlText w:val=""/>
      <w:lvlJc w:val="left"/>
      <w:pPr>
        <w:ind w:left="129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1955E0"/>
    <w:multiLevelType w:val="multilevel"/>
    <w:tmpl w:val="4F480BE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1B97760"/>
    <w:multiLevelType w:val="multilevel"/>
    <w:tmpl w:val="D814F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2E18DD"/>
    <w:multiLevelType w:val="multilevel"/>
    <w:tmpl w:val="F3AC96DA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hAnsi="Noto Sans Symbols" w:cs="Noto Sans Symbol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4AFE2A07"/>
    <w:multiLevelType w:val="multilevel"/>
    <w:tmpl w:val="35DEDAC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1943" w:hanging="720"/>
      </w:pPr>
    </w:lvl>
    <w:lvl w:ilvl="3">
      <w:start w:val="1"/>
      <w:numFmt w:val="decimal"/>
      <w:lvlText w:val="%1.%2.%3.%4."/>
      <w:lvlJc w:val="left"/>
      <w:pPr>
        <w:ind w:left="2380" w:hanging="1080"/>
      </w:pPr>
    </w:lvl>
    <w:lvl w:ilvl="4">
      <w:start w:val="1"/>
      <w:numFmt w:val="decimal"/>
      <w:lvlText w:val="%1.%2.%3.%4.%5."/>
      <w:lvlJc w:val="left"/>
      <w:pPr>
        <w:ind w:left="2457" w:hanging="1080"/>
      </w:pPr>
    </w:lvl>
    <w:lvl w:ilvl="5">
      <w:start w:val="1"/>
      <w:numFmt w:val="decimal"/>
      <w:lvlText w:val="%1.%2.%3.%4.%5.%6."/>
      <w:lvlJc w:val="left"/>
      <w:pPr>
        <w:ind w:left="2894" w:hanging="1440"/>
      </w:pPr>
    </w:lvl>
    <w:lvl w:ilvl="6">
      <w:start w:val="1"/>
      <w:numFmt w:val="decimal"/>
      <w:lvlText w:val="%1.%2.%3.%4.%5.%6.%7."/>
      <w:lvlJc w:val="left"/>
      <w:pPr>
        <w:ind w:left="2971" w:hanging="1438"/>
      </w:pPr>
    </w:lvl>
    <w:lvl w:ilvl="7">
      <w:start w:val="1"/>
      <w:numFmt w:val="decimal"/>
      <w:lvlText w:val="%1.%2.%3.%4.%5.%6.%7.%8."/>
      <w:lvlJc w:val="left"/>
      <w:pPr>
        <w:ind w:left="3408" w:hanging="1800"/>
      </w:pPr>
    </w:lvl>
    <w:lvl w:ilvl="8">
      <w:start w:val="1"/>
      <w:numFmt w:val="decimal"/>
      <w:lvlText w:val="%1.%2.%3.%4.%5.%6.%7.%8.%9."/>
      <w:lvlJc w:val="left"/>
      <w:pPr>
        <w:ind w:left="3485" w:hanging="1800"/>
      </w:pPr>
    </w:lvl>
  </w:abstractNum>
  <w:abstractNum w:abstractNumId="5" w15:restartNumberingAfterBreak="0">
    <w:nsid w:val="5C5B5313"/>
    <w:multiLevelType w:val="multilevel"/>
    <w:tmpl w:val="94200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682E02B7"/>
    <w:multiLevelType w:val="multilevel"/>
    <w:tmpl w:val="9E64D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78A92C1C"/>
    <w:multiLevelType w:val="multilevel"/>
    <w:tmpl w:val="D6EE13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A6E3275"/>
    <w:multiLevelType w:val="multilevel"/>
    <w:tmpl w:val="E5B881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2509" w:hanging="720"/>
      </w:pPr>
    </w:lvl>
    <w:lvl w:ilvl="3">
      <w:start w:val="1"/>
      <w:numFmt w:val="decimal"/>
      <w:lvlText w:val="%1.%2.%3.%4."/>
      <w:lvlJc w:val="left"/>
      <w:pPr>
        <w:ind w:left="3229" w:hanging="1080"/>
      </w:pPr>
    </w:lvl>
    <w:lvl w:ilvl="4">
      <w:start w:val="1"/>
      <w:numFmt w:val="decimal"/>
      <w:lvlText w:val="%1.%2.%3.%4.%5."/>
      <w:lvlJc w:val="left"/>
      <w:pPr>
        <w:ind w:left="3589" w:hanging="1080"/>
      </w:pPr>
    </w:lvl>
    <w:lvl w:ilvl="5">
      <w:start w:val="1"/>
      <w:numFmt w:val="decimal"/>
      <w:lvlText w:val="%1.%2.%3.%4.%5.%6."/>
      <w:lvlJc w:val="left"/>
      <w:pPr>
        <w:ind w:left="4309" w:hanging="1440"/>
      </w:pPr>
    </w:lvl>
    <w:lvl w:ilvl="6">
      <w:start w:val="1"/>
      <w:numFmt w:val="decimal"/>
      <w:lvlText w:val="%1.%2.%3.%4.%5.%6.%7."/>
      <w:lvlJc w:val="left"/>
      <w:pPr>
        <w:ind w:left="5029" w:hanging="1800"/>
      </w:pPr>
    </w:lvl>
    <w:lvl w:ilvl="7">
      <w:start w:val="1"/>
      <w:numFmt w:val="decimal"/>
      <w:lvlText w:val="%1.%2.%3.%4.%5.%6.%7.%8."/>
      <w:lvlJc w:val="left"/>
      <w:pPr>
        <w:ind w:left="5389" w:hanging="1800"/>
      </w:pPr>
    </w:lvl>
    <w:lvl w:ilvl="8">
      <w:start w:val="1"/>
      <w:numFmt w:val="decimal"/>
      <w:lvlText w:val="%1.%2.%3.%4.%5.%6.%7.%8.%9."/>
      <w:lvlJc w:val="left"/>
      <w:pPr>
        <w:ind w:left="6109" w:hanging="21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F3"/>
    <w:rsid w:val="003D42F3"/>
    <w:rsid w:val="00A2250E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1180"/>
  <w15:docId w15:val="{213BC11E-5A3D-4610-95F8-4A7B6971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4C"/>
    <w:pPr>
      <w:widowControl w:val="0"/>
      <w:spacing w:after="160" w:line="259" w:lineRule="auto"/>
    </w:pPr>
    <w:rPr>
      <w:sz w:val="22"/>
    </w:rPr>
  </w:style>
  <w:style w:type="paragraph" w:styleId="1">
    <w:name w:val="heading 1"/>
    <w:basedOn w:val="a"/>
    <w:next w:val="LO-normal"/>
    <w:uiPriority w:val="9"/>
    <w:qFormat/>
    <w:rsid w:val="005002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LO-normal"/>
    <w:uiPriority w:val="9"/>
    <w:semiHidden/>
    <w:unhideWhenUsed/>
    <w:qFormat/>
    <w:rsid w:val="005002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LO-normal"/>
    <w:uiPriority w:val="9"/>
    <w:semiHidden/>
    <w:unhideWhenUsed/>
    <w:qFormat/>
    <w:rsid w:val="005002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LO-normal"/>
    <w:uiPriority w:val="9"/>
    <w:semiHidden/>
    <w:unhideWhenUsed/>
    <w:qFormat/>
    <w:rsid w:val="005002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LO-normal"/>
    <w:uiPriority w:val="9"/>
    <w:semiHidden/>
    <w:unhideWhenUsed/>
    <w:qFormat/>
    <w:rsid w:val="005002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LO-normal"/>
    <w:uiPriority w:val="9"/>
    <w:semiHidden/>
    <w:unhideWhenUsed/>
    <w:qFormat/>
    <w:rsid w:val="005002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0024C"/>
    <w:rPr>
      <w:rFonts w:eastAsia="Noto Sans Symbols" w:cs="Noto Sans Symbols"/>
      <w:sz w:val="28"/>
    </w:rPr>
  </w:style>
  <w:style w:type="character" w:customStyle="1" w:styleId="ListLabel2">
    <w:name w:val="ListLabel 2"/>
    <w:qFormat/>
    <w:rsid w:val="0050024C"/>
    <w:rPr>
      <w:rFonts w:eastAsia="Courier New" w:cs="Courier New"/>
    </w:rPr>
  </w:style>
  <w:style w:type="character" w:customStyle="1" w:styleId="ListLabel3">
    <w:name w:val="ListLabel 3"/>
    <w:qFormat/>
    <w:rsid w:val="0050024C"/>
    <w:rPr>
      <w:rFonts w:eastAsia="Noto Sans Symbols" w:cs="Noto Sans Symbols"/>
    </w:rPr>
  </w:style>
  <w:style w:type="character" w:customStyle="1" w:styleId="ListLabel4">
    <w:name w:val="ListLabel 4"/>
    <w:qFormat/>
    <w:rsid w:val="0050024C"/>
    <w:rPr>
      <w:rFonts w:eastAsia="Noto Sans Symbols" w:cs="Noto Sans Symbols"/>
    </w:rPr>
  </w:style>
  <w:style w:type="character" w:customStyle="1" w:styleId="ListLabel5">
    <w:name w:val="ListLabel 5"/>
    <w:qFormat/>
    <w:rsid w:val="0050024C"/>
    <w:rPr>
      <w:rFonts w:eastAsia="Courier New" w:cs="Courier New"/>
    </w:rPr>
  </w:style>
  <w:style w:type="character" w:customStyle="1" w:styleId="ListLabel6">
    <w:name w:val="ListLabel 6"/>
    <w:qFormat/>
    <w:rsid w:val="0050024C"/>
    <w:rPr>
      <w:rFonts w:eastAsia="Noto Sans Symbols" w:cs="Noto Sans Symbols"/>
    </w:rPr>
  </w:style>
  <w:style w:type="character" w:customStyle="1" w:styleId="ListLabel7">
    <w:name w:val="ListLabel 7"/>
    <w:qFormat/>
    <w:rsid w:val="0050024C"/>
    <w:rPr>
      <w:rFonts w:eastAsia="Noto Sans Symbols" w:cs="Noto Sans Symbols"/>
    </w:rPr>
  </w:style>
  <w:style w:type="character" w:customStyle="1" w:styleId="ListLabel8">
    <w:name w:val="ListLabel 8"/>
    <w:qFormat/>
    <w:rsid w:val="0050024C"/>
    <w:rPr>
      <w:rFonts w:eastAsia="Courier New" w:cs="Courier New"/>
    </w:rPr>
  </w:style>
  <w:style w:type="character" w:customStyle="1" w:styleId="ListLabel9">
    <w:name w:val="ListLabel 9"/>
    <w:qFormat/>
    <w:rsid w:val="0050024C"/>
    <w:rPr>
      <w:rFonts w:eastAsia="Noto Sans Symbols" w:cs="Noto Sans Symbols"/>
    </w:rPr>
  </w:style>
  <w:style w:type="character" w:customStyle="1" w:styleId="ListLabel10">
    <w:name w:val="ListLabel 10"/>
    <w:qFormat/>
    <w:rsid w:val="0050024C"/>
    <w:rPr>
      <w:rFonts w:eastAsia="Noto Sans Symbols" w:cs="Noto Sans Symbols"/>
      <w:sz w:val="28"/>
    </w:rPr>
  </w:style>
  <w:style w:type="character" w:customStyle="1" w:styleId="ListLabel11">
    <w:name w:val="ListLabel 11"/>
    <w:qFormat/>
    <w:rsid w:val="0050024C"/>
    <w:rPr>
      <w:rFonts w:eastAsia="Courier New" w:cs="Courier New"/>
    </w:rPr>
  </w:style>
  <w:style w:type="character" w:customStyle="1" w:styleId="ListLabel12">
    <w:name w:val="ListLabel 12"/>
    <w:qFormat/>
    <w:rsid w:val="0050024C"/>
    <w:rPr>
      <w:rFonts w:eastAsia="Noto Sans Symbols" w:cs="Noto Sans Symbols"/>
    </w:rPr>
  </w:style>
  <w:style w:type="character" w:customStyle="1" w:styleId="ListLabel13">
    <w:name w:val="ListLabel 13"/>
    <w:qFormat/>
    <w:rsid w:val="0050024C"/>
    <w:rPr>
      <w:rFonts w:eastAsia="Noto Sans Symbols" w:cs="Noto Sans Symbols"/>
    </w:rPr>
  </w:style>
  <w:style w:type="character" w:customStyle="1" w:styleId="ListLabel14">
    <w:name w:val="ListLabel 14"/>
    <w:qFormat/>
    <w:rsid w:val="0050024C"/>
    <w:rPr>
      <w:rFonts w:eastAsia="Courier New" w:cs="Courier New"/>
    </w:rPr>
  </w:style>
  <w:style w:type="character" w:customStyle="1" w:styleId="ListLabel15">
    <w:name w:val="ListLabel 15"/>
    <w:qFormat/>
    <w:rsid w:val="0050024C"/>
    <w:rPr>
      <w:rFonts w:eastAsia="Noto Sans Symbols" w:cs="Noto Sans Symbols"/>
    </w:rPr>
  </w:style>
  <w:style w:type="character" w:customStyle="1" w:styleId="ListLabel16">
    <w:name w:val="ListLabel 16"/>
    <w:qFormat/>
    <w:rsid w:val="0050024C"/>
    <w:rPr>
      <w:rFonts w:eastAsia="Noto Sans Symbols" w:cs="Noto Sans Symbols"/>
    </w:rPr>
  </w:style>
  <w:style w:type="character" w:customStyle="1" w:styleId="ListLabel17">
    <w:name w:val="ListLabel 17"/>
    <w:qFormat/>
    <w:rsid w:val="0050024C"/>
    <w:rPr>
      <w:rFonts w:eastAsia="Courier New" w:cs="Courier New"/>
    </w:rPr>
  </w:style>
  <w:style w:type="character" w:customStyle="1" w:styleId="ListLabel18">
    <w:name w:val="ListLabel 18"/>
    <w:qFormat/>
    <w:rsid w:val="0050024C"/>
    <w:rPr>
      <w:rFonts w:eastAsia="Noto Sans Symbols" w:cs="Noto Sans Symbols"/>
    </w:rPr>
  </w:style>
  <w:style w:type="character" w:customStyle="1" w:styleId="ListLabel19">
    <w:name w:val="ListLabel 19"/>
    <w:qFormat/>
    <w:rsid w:val="0050024C"/>
    <w:rPr>
      <w:rFonts w:ascii="Times New Roman" w:eastAsia="Times New Roman" w:hAnsi="Times New Roman" w:cs="Times New Roman"/>
      <w:color w:val="0000FF"/>
      <w:sz w:val="28"/>
      <w:szCs w:val="28"/>
      <w:u w:val="single"/>
    </w:rPr>
  </w:style>
  <w:style w:type="character" w:customStyle="1" w:styleId="-">
    <w:name w:val="Интернет-ссылка"/>
    <w:basedOn w:val="a0"/>
    <w:uiPriority w:val="99"/>
    <w:unhideWhenUsed/>
    <w:rsid w:val="00D46B69"/>
    <w:rPr>
      <w:color w:val="0000FF" w:themeColor="hyperlink"/>
      <w:u w:val="single"/>
    </w:rPr>
  </w:style>
  <w:style w:type="character" w:customStyle="1" w:styleId="ListLabel20">
    <w:name w:val="ListLabel 20"/>
    <w:qFormat/>
    <w:rsid w:val="0050024C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a3">
    <w:name w:val="Символ нумерации"/>
    <w:qFormat/>
    <w:rsid w:val="0050024C"/>
  </w:style>
  <w:style w:type="character" w:customStyle="1" w:styleId="a4">
    <w:name w:val="Текст выноски Знак"/>
    <w:basedOn w:val="a0"/>
    <w:uiPriority w:val="99"/>
    <w:semiHidden/>
    <w:qFormat/>
    <w:rsid w:val="00D16010"/>
    <w:rPr>
      <w:rFonts w:ascii="Segoe UI" w:hAnsi="Segoe UI" w:cs="Mangal"/>
      <w:sz w:val="18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CA54F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A54FF"/>
    <w:rPr>
      <w:rFonts w:cs="Mangal"/>
      <w:sz w:val="20"/>
      <w:szCs w:val="18"/>
    </w:rPr>
  </w:style>
  <w:style w:type="character" w:customStyle="1" w:styleId="a7">
    <w:name w:val="Тема примечания Знак"/>
    <w:basedOn w:val="a6"/>
    <w:uiPriority w:val="99"/>
    <w:semiHidden/>
    <w:qFormat/>
    <w:rsid w:val="00CA54FF"/>
    <w:rPr>
      <w:rFonts w:cs="Mangal"/>
      <w:b/>
      <w:bCs/>
      <w:sz w:val="20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46B6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qFormat/>
    <w:rsid w:val="009B7CA1"/>
    <w:rPr>
      <w:color w:val="800080" w:themeColor="followed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BF38F7"/>
    <w:rPr>
      <w:rFonts w:cs="Mangal"/>
      <w:szCs w:val="20"/>
    </w:rPr>
  </w:style>
  <w:style w:type="character" w:customStyle="1" w:styleId="aa">
    <w:name w:val="Нижний колонтитул Знак"/>
    <w:basedOn w:val="a0"/>
    <w:uiPriority w:val="99"/>
    <w:qFormat/>
    <w:rsid w:val="00BF38F7"/>
    <w:rPr>
      <w:rFonts w:cs="Mangal"/>
      <w:szCs w:val="20"/>
    </w:rPr>
  </w:style>
  <w:style w:type="character" w:customStyle="1" w:styleId="ListLabel21">
    <w:name w:val="ListLabel 21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Noto Sans Symbols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ascii="Times New Roman" w:hAnsi="Times New Roman" w:cs="Noto Sans Symbols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Noto Sans Symbol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color w:val="0000FF"/>
      <w:sz w:val="28"/>
      <w:szCs w:val="28"/>
    </w:rPr>
  </w:style>
  <w:style w:type="character" w:customStyle="1" w:styleId="ListLabel44">
    <w:name w:val="ListLabel 44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Noto Sans Symbols"/>
    </w:rPr>
  </w:style>
  <w:style w:type="character" w:customStyle="1" w:styleId="ListLabel50">
    <w:name w:val="ListLabel 50"/>
    <w:qFormat/>
    <w:rPr>
      <w:rFonts w:cs="Noto Sans Symbols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Noto Sans Symbols"/>
    </w:rPr>
  </w:style>
  <w:style w:type="character" w:customStyle="1" w:styleId="ListLabel53">
    <w:name w:val="ListLabel 53"/>
    <w:qFormat/>
    <w:rPr>
      <w:rFonts w:ascii="Times New Roman" w:hAnsi="Times New Roman" w:cs="Noto Sans Symbols"/>
      <w:sz w:val="24"/>
      <w:szCs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Noto Sans Symbols"/>
    </w:rPr>
  </w:style>
  <w:style w:type="character" w:customStyle="1" w:styleId="ListLabel62">
    <w:name w:val="ListLabel 62"/>
    <w:qFormat/>
    <w:rPr>
      <w:rFonts w:ascii="Times New Roman" w:hAnsi="Times New Roman" w:cs="Symbol"/>
      <w:sz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72">
    <w:name w:val="ListLabel 72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73">
    <w:name w:val="ListLabel 73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Noto Sans Symbols"/>
    </w:rPr>
  </w:style>
  <w:style w:type="character" w:customStyle="1" w:styleId="ListLabel76">
    <w:name w:val="ListLabel 76"/>
    <w:qFormat/>
    <w:rPr>
      <w:rFonts w:cs="Noto Sans Symbols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ascii="Times New Roman" w:hAnsi="Times New Roman" w:cs="Noto Sans Symbols"/>
      <w:sz w:val="24"/>
      <w:szCs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cs="Noto Sans Symbols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Noto Sans Symbols"/>
    </w:rPr>
  </w:style>
  <w:style w:type="character" w:customStyle="1" w:styleId="ListLabel88">
    <w:name w:val="ListLabel 88"/>
    <w:qFormat/>
    <w:rPr>
      <w:rFonts w:cs="Noto Sans Symbols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01">
    <w:name w:val="ListLabel 101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Noto Sans Symbols"/>
    </w:rPr>
  </w:style>
  <w:style w:type="character" w:customStyle="1" w:styleId="ListLabel111">
    <w:name w:val="ListLabel 111"/>
    <w:qFormat/>
    <w:rPr>
      <w:rFonts w:ascii="Times New Roman" w:hAnsi="Times New Roman" w:cs="Noto Sans Symbols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ascii="Times New Roman" w:hAnsi="Times New Roman" w:cs="Symbol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30">
    <w:name w:val="ListLabel 130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131">
    <w:name w:val="ListLabel 131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Noto Sans Symbols"/>
    </w:rPr>
  </w:style>
  <w:style w:type="character" w:customStyle="1" w:styleId="ListLabel134">
    <w:name w:val="ListLabel 134"/>
    <w:qFormat/>
    <w:rPr>
      <w:rFonts w:cs="Noto Sans Symbols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Noto Sans Symbols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ascii="Times New Roman" w:hAnsi="Times New Roman" w:cs="Noto Sans Symbols"/>
      <w:sz w:val="24"/>
      <w:szCs w:val="24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Noto Sans Symbols"/>
    </w:rPr>
  </w:style>
  <w:style w:type="character" w:customStyle="1" w:styleId="ListLabel146">
    <w:name w:val="ListLabel 146"/>
    <w:qFormat/>
    <w:rPr>
      <w:rFonts w:cs="Noto Sans Symbols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Noto Sans Symbols"/>
    </w:rPr>
  </w:style>
  <w:style w:type="character" w:customStyle="1" w:styleId="ListLabel149">
    <w:name w:val="ListLabel 149"/>
    <w:qFormat/>
    <w:rPr>
      <w:rFonts w:ascii="Times New Roman" w:hAnsi="Times New Roman" w:cs="Symbol"/>
      <w:sz w:val="28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160">
    <w:name w:val="ListLabel 160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hAnsi="Times New Roman" w:cs="Noto Sans Symbols"/>
      <w:sz w:val="24"/>
      <w:szCs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Noto Sans Symbols"/>
    </w:rPr>
  </w:style>
  <w:style w:type="character" w:customStyle="1" w:styleId="ListLabel172">
    <w:name w:val="ListLabel 172"/>
    <w:qFormat/>
    <w:rPr>
      <w:rFonts w:cs="Noto Sans Symbols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ascii="Times New Roman" w:hAnsi="Times New Roman" w:cs="Symbol"/>
      <w:sz w:val="28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88">
    <w:name w:val="ListLabel 188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189">
    <w:name w:val="ListLabel 189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Noto Sans Symbols"/>
    </w:rPr>
  </w:style>
  <w:style w:type="character" w:customStyle="1" w:styleId="ListLabel195">
    <w:name w:val="ListLabel 195"/>
    <w:qFormat/>
    <w:rPr>
      <w:rFonts w:cs="Noto Sans Symbols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ascii="Times New Roman" w:hAnsi="Times New Roman" w:cs="Noto Sans Symbols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Noto Sans Symbols"/>
    </w:rPr>
  </w:style>
  <w:style w:type="character" w:customStyle="1" w:styleId="ListLabel207">
    <w:name w:val="ListLabel 207"/>
    <w:qFormat/>
    <w:rPr>
      <w:rFonts w:ascii="Times New Roman" w:hAnsi="Times New Roman" w:cs="Symbol"/>
      <w:sz w:val="28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218">
    <w:name w:val="ListLabel 218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Noto Sans Symbols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ascii="Times New Roman" w:hAnsi="Times New Roman" w:cs="Noto Sans Symbols"/>
      <w:sz w:val="24"/>
      <w:szCs w:val="24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Noto Sans Symbols"/>
    </w:rPr>
  </w:style>
  <w:style w:type="character" w:customStyle="1" w:styleId="ListLabel230">
    <w:name w:val="ListLabel 230"/>
    <w:qFormat/>
    <w:rPr>
      <w:rFonts w:cs="Noto Sans Symbols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ascii="Times New Roman" w:hAnsi="Times New Roman" w:cs="Symbol"/>
      <w:sz w:val="28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46">
    <w:name w:val="ListLabel 246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ListLabel247">
    <w:name w:val="ListLabel 247"/>
    <w:qFormat/>
    <w:rPr>
      <w:rFonts w:ascii="Times New Roman" w:hAnsi="Times New Roman" w:cs="Noto Sans Symbols"/>
      <w:color w:val="000000"/>
      <w:sz w:val="24"/>
      <w:szCs w:val="24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Noto Sans Symbols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ascii="Times New Roman" w:hAnsi="Times New Roman" w:cs="Noto Sans Symbols"/>
      <w:sz w:val="24"/>
      <w:szCs w:val="24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Noto Sans Symbols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ascii="Times New Roman" w:hAnsi="Times New Roman" w:cs="Symbol"/>
      <w:sz w:val="28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75">
    <w:name w:val="ListLabel 275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ab">
    <w:name w:val="Title"/>
    <w:basedOn w:val="a"/>
    <w:next w:val="ac"/>
    <w:uiPriority w:val="10"/>
    <w:qFormat/>
    <w:rsid w:val="0050024C"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Body Text"/>
    <w:basedOn w:val="a"/>
    <w:rsid w:val="0050024C"/>
    <w:pPr>
      <w:spacing w:after="140" w:line="276" w:lineRule="auto"/>
    </w:pPr>
  </w:style>
  <w:style w:type="paragraph" w:styleId="ad">
    <w:name w:val="List"/>
    <w:basedOn w:val="ac"/>
    <w:rsid w:val="0050024C"/>
    <w:rPr>
      <w:rFonts w:cs="Arial"/>
    </w:rPr>
  </w:style>
  <w:style w:type="paragraph" w:styleId="ae">
    <w:name w:val="caption"/>
    <w:basedOn w:val="a"/>
    <w:qFormat/>
    <w:rsid w:val="0050024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50024C"/>
    <w:pPr>
      <w:suppressLineNumbers/>
    </w:pPr>
    <w:rPr>
      <w:rFonts w:cs="Arial"/>
    </w:rPr>
  </w:style>
  <w:style w:type="paragraph" w:customStyle="1" w:styleId="LO-normal">
    <w:name w:val="LO-normal"/>
    <w:qFormat/>
    <w:rsid w:val="0050024C"/>
    <w:rPr>
      <w:sz w:val="22"/>
    </w:rPr>
  </w:style>
  <w:style w:type="paragraph" w:styleId="af0">
    <w:name w:val="Subtitle"/>
    <w:basedOn w:val="LO-normal"/>
    <w:next w:val="LO-normal"/>
    <w:uiPriority w:val="11"/>
    <w:qFormat/>
    <w:rsid w:val="005002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Balloon Text"/>
    <w:basedOn w:val="a"/>
    <w:uiPriority w:val="99"/>
    <w:semiHidden/>
    <w:unhideWhenUsed/>
    <w:qFormat/>
    <w:rsid w:val="00D16010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af2">
    <w:name w:val="annotation text"/>
    <w:basedOn w:val="a"/>
    <w:uiPriority w:val="99"/>
    <w:semiHidden/>
    <w:unhideWhenUsed/>
    <w:qFormat/>
    <w:rsid w:val="00CA54FF"/>
    <w:pPr>
      <w:spacing w:line="240" w:lineRule="auto"/>
    </w:pPr>
    <w:rPr>
      <w:rFonts w:cs="Mangal"/>
      <w:sz w:val="20"/>
      <w:szCs w:val="18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CA54FF"/>
    <w:rPr>
      <w:b/>
      <w:bCs/>
    </w:rPr>
  </w:style>
  <w:style w:type="paragraph" w:styleId="af4">
    <w:name w:val="List Paragraph"/>
    <w:basedOn w:val="a"/>
    <w:uiPriority w:val="34"/>
    <w:qFormat/>
    <w:rsid w:val="007A2C70"/>
    <w:pPr>
      <w:ind w:left="720"/>
      <w:contextualSpacing/>
    </w:pPr>
    <w:rPr>
      <w:rFonts w:cs="Mangal"/>
      <w:szCs w:val="20"/>
    </w:rPr>
  </w:style>
  <w:style w:type="paragraph" w:styleId="af5">
    <w:name w:val="header"/>
    <w:basedOn w:val="a"/>
    <w:uiPriority w:val="99"/>
    <w:unhideWhenUsed/>
    <w:rsid w:val="00BF38F7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paragraph" w:styleId="af6">
    <w:name w:val="footer"/>
    <w:basedOn w:val="a"/>
    <w:uiPriority w:val="99"/>
    <w:unhideWhenUsed/>
    <w:rsid w:val="00BF38F7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customStyle="1" w:styleId="TableNormal">
    <w:name w:val="Table Normal"/>
    <w:rsid w:val="0050024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uiPriority w:val="39"/>
    <w:rsid w:val="0004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nn.ru/" TargetMode="External"/><Relationship Id="rId13" Type="http://schemas.openxmlformats.org/officeDocument/2006/relationships/hyperlink" Target="https://vestinn.ru/" TargetMode="External"/><Relationship Id="rId18" Type="http://schemas.openxmlformats.org/officeDocument/2006/relationships/hyperlink" Target="http://deti-n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ro.nnov.ru/" TargetMode="External"/><Relationship Id="rId12" Type="http://schemas.openxmlformats.org/officeDocument/2006/relationships/hyperlink" Target="http://deti-nn.ru/" TargetMode="External"/><Relationship Id="rId17" Type="http://schemas.openxmlformats.org/officeDocument/2006/relationships/hyperlink" Target="https://vestin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i-nn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estinn.ru/" TargetMode="External"/><Relationship Id="rId11" Type="http://schemas.openxmlformats.org/officeDocument/2006/relationships/hyperlink" Target="http://www.niro.nn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inn.ru/" TargetMode="External"/><Relationship Id="rId10" Type="http://schemas.openxmlformats.org/officeDocument/2006/relationships/hyperlink" Target="https://vestinn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ldinomuzey.ru/" TargetMode="External"/><Relationship Id="rId14" Type="http://schemas.openxmlformats.org/officeDocument/2006/relationships/hyperlink" Target="http://deti-n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2BA00-E6A3-482F-95F1-5973C206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</dc:creator>
  <dc:description/>
  <cp:lastModifiedBy>User</cp:lastModifiedBy>
  <cp:revision>3</cp:revision>
  <cp:lastPrinted>2023-10-03T11:56:00Z</cp:lastPrinted>
  <dcterms:created xsi:type="dcterms:W3CDTF">2023-10-16T13:50:00Z</dcterms:created>
  <dcterms:modified xsi:type="dcterms:W3CDTF">2023-10-16T13:51:00Z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